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ПОЯСНИТЕЛЬНАЯ К ПРОЕКТУ РЕШЕНИЯ «О ВНЕСЕНИИ ИЗМЕНЕНИЙ В РЕШЕНИЕ СОВЕТА ДЕПУТАТОВ ЧУЛЫМСКОГО РАЙОНА «О БЮДЖЕТЕ ЧУЛЫМСКОГО МУНИЦИПАЛЬНОГО РАЙОНА НА 2023 ГОД И ПЛАНОВЫЙ ПЕРИОД 2024 и 2025 ГОДОВ»</w:t>
      </w:r>
      <w:r/>
    </w:p>
    <w:p>
      <w:pPr>
        <w:pStyle w:val="84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Проект решения совета депутатов </w:t>
      </w:r>
      <w:r>
        <w:rPr>
          <w:sz w:val="20"/>
          <w:szCs w:val="20"/>
          <w:lang w:val="ru-RU"/>
        </w:rPr>
        <w:t xml:space="preserve">Чулымского</w:t>
      </w:r>
      <w:r>
        <w:rPr>
          <w:sz w:val="20"/>
          <w:szCs w:val="20"/>
          <w:lang w:val="ru-RU"/>
        </w:rPr>
        <w:t xml:space="preserve"> района «О внесении изменений в решение Совета депутатов </w:t>
      </w:r>
      <w:r>
        <w:rPr>
          <w:sz w:val="20"/>
          <w:szCs w:val="20"/>
          <w:lang w:val="ru-RU"/>
        </w:rPr>
        <w:t xml:space="preserve">Чулымского</w:t>
      </w:r>
      <w:r>
        <w:rPr>
          <w:sz w:val="20"/>
          <w:szCs w:val="20"/>
          <w:lang w:val="ru-RU"/>
        </w:rPr>
        <w:t xml:space="preserve"> района «О бюджете </w:t>
      </w:r>
      <w:r>
        <w:rPr>
          <w:sz w:val="20"/>
          <w:szCs w:val="20"/>
          <w:lang w:val="ru-RU"/>
        </w:rPr>
        <w:t xml:space="preserve">Чулымского</w:t>
      </w:r>
      <w:r>
        <w:rPr>
          <w:sz w:val="20"/>
          <w:szCs w:val="20"/>
          <w:lang w:val="ru-RU"/>
        </w:rPr>
        <w:t xml:space="preserve"> муниципального района на 2023 год и плановый период 2024 и 2025 годов» вносится для рассмотрения в Совет депутатов </w:t>
      </w:r>
      <w:r>
        <w:rPr>
          <w:sz w:val="20"/>
          <w:szCs w:val="20"/>
          <w:lang w:val="ru-RU"/>
        </w:rPr>
        <w:t xml:space="preserve">Чулымского</w:t>
      </w:r>
      <w:r>
        <w:rPr>
          <w:sz w:val="20"/>
          <w:szCs w:val="20"/>
          <w:lang w:val="ru-RU"/>
        </w:rPr>
        <w:t xml:space="preserve"> района в соответствии со статьей </w:t>
      </w:r>
      <w:r>
        <w:rPr>
          <w:sz w:val="20"/>
          <w:szCs w:val="20"/>
          <w:lang w:val="ru-RU"/>
        </w:rPr>
        <w:t xml:space="preserve">21 решения Совета депутатов </w:t>
      </w:r>
      <w:r>
        <w:rPr>
          <w:sz w:val="20"/>
          <w:szCs w:val="20"/>
          <w:lang w:val="ru-RU"/>
        </w:rPr>
        <w:t xml:space="preserve">Чулымского</w:t>
      </w:r>
      <w:r>
        <w:rPr>
          <w:sz w:val="20"/>
          <w:szCs w:val="20"/>
          <w:lang w:val="ru-RU"/>
        </w:rPr>
        <w:t xml:space="preserve"> района №9/127 от 23.03.2012г.« Об утверждении положения «О бюджетном процессе в </w:t>
      </w:r>
      <w:r>
        <w:rPr>
          <w:sz w:val="20"/>
          <w:szCs w:val="20"/>
          <w:lang w:val="ru-RU"/>
        </w:rPr>
        <w:t xml:space="preserve">Чулымском</w:t>
      </w:r>
      <w:r>
        <w:rPr>
          <w:sz w:val="20"/>
          <w:szCs w:val="20"/>
          <w:lang w:val="ru-RU"/>
        </w:rPr>
        <w:t xml:space="preserve"> районе»». </w:t>
      </w:r>
      <w:r/>
    </w:p>
    <w:p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Внесение изменений решения совета депутатов </w:t>
      </w:r>
      <w:r>
        <w:rPr>
          <w:bCs/>
          <w:sz w:val="20"/>
          <w:szCs w:val="20"/>
        </w:rPr>
        <w:t xml:space="preserve">Чулымского</w:t>
      </w:r>
      <w:r>
        <w:rPr>
          <w:bCs/>
          <w:sz w:val="20"/>
          <w:szCs w:val="20"/>
        </w:rPr>
        <w:t xml:space="preserve"> района «О внесении изменений в решение Совета депу</w:t>
      </w:r>
      <w:r>
        <w:rPr>
          <w:bCs/>
          <w:sz w:val="20"/>
          <w:szCs w:val="20"/>
        </w:rPr>
        <w:t xml:space="preserve">татов </w:t>
      </w:r>
      <w:r>
        <w:rPr>
          <w:bCs/>
          <w:sz w:val="20"/>
          <w:szCs w:val="20"/>
        </w:rPr>
        <w:t xml:space="preserve">Чулымского</w:t>
      </w:r>
      <w:r>
        <w:rPr>
          <w:bCs/>
          <w:sz w:val="20"/>
          <w:szCs w:val="20"/>
        </w:rPr>
        <w:t xml:space="preserve"> района и «О  бюджете </w:t>
      </w:r>
      <w:r>
        <w:rPr>
          <w:bCs/>
          <w:sz w:val="20"/>
          <w:szCs w:val="20"/>
        </w:rPr>
        <w:t xml:space="preserve">Чулымского</w:t>
      </w:r>
      <w:r>
        <w:rPr>
          <w:bCs/>
          <w:sz w:val="20"/>
          <w:szCs w:val="20"/>
        </w:rPr>
        <w:t xml:space="preserve"> муниципального района на 2023 год и плановый период 2024 и 2025годов» обусловлено изменениями плана безвозмездных поступлений из областного бюджета и поступлением предложений от структурных подразделений адм</w:t>
      </w:r>
      <w:r>
        <w:rPr>
          <w:bCs/>
          <w:sz w:val="20"/>
          <w:szCs w:val="20"/>
        </w:rPr>
        <w:t xml:space="preserve">инистрации </w:t>
      </w:r>
      <w:r>
        <w:rPr>
          <w:bCs/>
          <w:sz w:val="20"/>
          <w:szCs w:val="20"/>
        </w:rPr>
        <w:t xml:space="preserve">Чулымского</w:t>
      </w:r>
      <w:r>
        <w:rPr>
          <w:bCs/>
          <w:sz w:val="20"/>
          <w:szCs w:val="20"/>
        </w:rPr>
        <w:t xml:space="preserve"> района и муниципальных учреждений района по изменению бюджетных ассигнований, а также принятием ряда дополнительных решений по расходам.</w:t>
      </w:r>
      <w:r/>
    </w:p>
    <w:p>
      <w:pPr>
        <w:jc w:val="center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Изменения доходной части районного бюджета</w:t>
      </w:r>
      <w:r/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В предоставленном проекте решения доходы р</w:t>
      </w:r>
      <w:r>
        <w:rPr>
          <w:bCs/>
          <w:sz w:val="20"/>
          <w:szCs w:val="20"/>
        </w:rPr>
        <w:t xml:space="preserve">айонного бюджета на 2023 год в общей сумме увеличены на 31688,1 тыс. руб. за счет увеличения суммы межбюджетных трансфертов из областного бюджета. В части суммы налоговых и неналоговых доходов изменения не предусматриваются. В разрезе видов налоговых и неналоговых доходов изменены следующие доходы:</w:t>
      </w:r>
      <w:r>
        <w:rPr>
          <w:bCs/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- </w:t>
      </w:r>
      <w:r>
        <w:rPr>
          <w:bCs/>
          <w:sz w:val="20"/>
          <w:szCs w:val="20"/>
        </w:rPr>
        <w:t xml:space="preserve">налог, взимаемый в связи с применением упрощенной системы налогообложения</w:t>
      </w:r>
      <w:r>
        <w:rPr>
          <w:bCs/>
          <w:sz w:val="20"/>
          <w:szCs w:val="20"/>
        </w:rPr>
        <w:t xml:space="preserve"> увеличен на 700, тыс. руб. и составляет 21028,0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- </w:t>
      </w:r>
      <w:r>
        <w:rPr>
          <w:bCs/>
          <w:sz w:val="20"/>
          <w:szCs w:val="20"/>
        </w:rPr>
        <w:t xml:space="preserve">единый сельскохозяйственный налог увеличен на 34,1 тыс. руб. и составляет 203,1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- </w:t>
      </w:r>
      <w:r>
        <w:rPr>
          <w:bCs/>
          <w:sz w:val="20"/>
          <w:szCs w:val="20"/>
        </w:rPr>
        <w:t xml:space="preserve">налог, взимаемый в связи с применением патентной системы налогообложения уменьшен на 1445,0 тыс. руб. и составляет 2056,0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– государственная пошлина уменьшена на 600,0 тыс. руб. и составляет 2651,6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– </w:t>
      </w:r>
      <w:r>
        <w:rPr>
          <w:bCs/>
          <w:sz w:val="20"/>
          <w:szCs w:val="20"/>
        </w:rPr>
        <w:t xml:space="preserve">доходы от использования имущества, находящегося в государственной и муниципальной собственности</w:t>
      </w:r>
      <w:r>
        <w:rPr>
          <w:bCs/>
          <w:sz w:val="20"/>
          <w:szCs w:val="20"/>
        </w:rPr>
        <w:t xml:space="preserve"> увеличены на 341,2 тыс. руб. и составляют 3050,9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– платежи при пользовании природными ресурсами увеличены на 45,6 тыс. руб. и составляют 215,7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– доходы от продажи материальных и нематериальных активов увеличены на 424,1 тыс. руб. и составляют 489,1 тыс. руб.;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– штрафы, санкции, возмещение ущерба увеличены на 500,0 тыс. руб. и составляют 1331,6 тыс. руб.</w:t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</w:t>
      </w:r>
      <w:r>
        <w:rPr>
          <w:bCs/>
          <w:sz w:val="20"/>
          <w:szCs w:val="20"/>
        </w:rPr>
        <w:t xml:space="preserve">Таким образом, общая сумма доходов ра</w:t>
      </w:r>
      <w:r>
        <w:rPr>
          <w:bCs/>
          <w:sz w:val="20"/>
          <w:szCs w:val="20"/>
        </w:rPr>
        <w:t xml:space="preserve">йонного бюджета на 2023 год составит 1456471,7 тыс. руб., с ростом к 2022 году – 114,5 процентов.</w:t>
      </w:r>
      <w:r/>
      <w:r/>
    </w:p>
    <w:p>
      <w:pPr>
        <w:jc w:val="both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На 2024 год и на 2025 год изменения не предусматриваются.</w:t>
      </w:r>
      <w:r/>
    </w:p>
    <w:p>
      <w:pPr>
        <w:pStyle w:val="838"/>
        <w:ind w:firstLine="709"/>
        <w:widowControl w:val="off"/>
        <w:rPr>
          <w:bCs w:val="0"/>
          <w:sz w:val="20"/>
          <w:szCs w:val="20"/>
          <w:lang w:val="ru-RU"/>
        </w:rPr>
      </w:pPr>
      <w:r>
        <w:rPr>
          <w:bCs w:val="0"/>
          <w:sz w:val="20"/>
          <w:szCs w:val="20"/>
          <w:lang w:val="ru-RU"/>
        </w:rPr>
        <w:t xml:space="preserve">Изменения расходной части районного бюджета</w:t>
      </w:r>
      <w:r/>
    </w:p>
    <w:p>
      <w:pPr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предоставленном проекте решения расходы ра</w:t>
      </w:r>
      <w:r>
        <w:rPr>
          <w:bCs/>
          <w:sz w:val="20"/>
          <w:szCs w:val="20"/>
        </w:rPr>
        <w:t xml:space="preserve">йонного бюджета на 2023год увеличены на сумму 19688,1 </w:t>
      </w:r>
      <w:r>
        <w:rPr>
          <w:bCs/>
          <w:sz w:val="20"/>
          <w:szCs w:val="20"/>
        </w:rPr>
        <w:t xml:space="preserve">т.руб</w:t>
      </w:r>
      <w:r>
        <w:rPr>
          <w:bCs/>
          <w:sz w:val="20"/>
          <w:szCs w:val="20"/>
        </w:rPr>
        <w:t xml:space="preserve"> . и составляют на 2023 год –1509922,5 </w:t>
      </w:r>
      <w:r>
        <w:rPr>
          <w:bCs/>
          <w:sz w:val="20"/>
          <w:szCs w:val="20"/>
        </w:rPr>
        <w:t xml:space="preserve">т.руб</w:t>
      </w:r>
      <w:r>
        <w:rPr>
          <w:bCs/>
          <w:sz w:val="20"/>
          <w:szCs w:val="20"/>
        </w:rPr>
        <w:t xml:space="preserve">.. Изменение расходной части бюджета обусловлено изменением межбюджетных трансфертов из областного бюджета в сумме 31688,1 </w:t>
      </w:r>
      <w:r>
        <w:rPr>
          <w:bCs/>
          <w:sz w:val="20"/>
          <w:szCs w:val="20"/>
        </w:rPr>
        <w:t xml:space="preserve">т.руб</w:t>
      </w:r>
      <w:r>
        <w:rPr>
          <w:bCs/>
          <w:sz w:val="20"/>
          <w:szCs w:val="20"/>
        </w:rPr>
        <w:t xml:space="preserve">. и уменьшением дефицита </w:t>
      </w:r>
      <w:r>
        <w:rPr>
          <w:bCs/>
          <w:sz w:val="20"/>
          <w:szCs w:val="20"/>
        </w:rPr>
        <w:t xml:space="preserve">бюджета в сумме 12000,0 </w:t>
      </w:r>
      <w:r>
        <w:rPr>
          <w:bCs/>
          <w:sz w:val="20"/>
          <w:szCs w:val="20"/>
        </w:rPr>
        <w:t xml:space="preserve">т.руб</w:t>
      </w:r>
      <w:r>
        <w:rPr>
          <w:bCs/>
          <w:sz w:val="20"/>
          <w:szCs w:val="20"/>
        </w:rPr>
        <w:t xml:space="preserve">.  Дефицит бюджета составит 53450,8 </w:t>
      </w:r>
      <w:r>
        <w:rPr>
          <w:bCs/>
          <w:sz w:val="20"/>
          <w:szCs w:val="20"/>
        </w:rPr>
        <w:t xml:space="preserve">тыс.рублей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0100 «Общегосударственные вопро</w:t>
      </w:r>
      <w:r>
        <w:rPr>
          <w:sz w:val="20"/>
          <w:szCs w:val="20"/>
        </w:rPr>
        <w:t xml:space="preserve">сы» расходы уменьшены в сумме 10140,9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за счет уменьшения субсидии и перераспределении ее на другие разделы на увеличение заработной платы работников бюджетной сферы на 7,5% с 01.10.2023 </w:t>
      </w:r>
      <w:r>
        <w:rPr>
          <w:sz w:val="20"/>
          <w:szCs w:val="20"/>
        </w:rPr>
        <w:t xml:space="preserve">годав</w:t>
      </w:r>
      <w:r>
        <w:rPr>
          <w:sz w:val="20"/>
          <w:szCs w:val="20"/>
        </w:rPr>
        <w:t xml:space="preserve"> сумме 5500,9 </w:t>
      </w:r>
      <w:r>
        <w:rPr>
          <w:sz w:val="20"/>
          <w:szCs w:val="20"/>
        </w:rPr>
        <w:t xml:space="preserve">тыс.руб</w:t>
      </w:r>
      <w:r>
        <w:rPr>
          <w:sz w:val="20"/>
          <w:szCs w:val="20"/>
        </w:rPr>
        <w:t xml:space="preserve">. и уменьшения резервного фонда в сумм</w:t>
      </w:r>
      <w:r>
        <w:rPr>
          <w:sz w:val="20"/>
          <w:szCs w:val="20"/>
        </w:rPr>
        <w:t xml:space="preserve">е 4640,0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0400 «Национальная экономика» расходы уменьшены в сумме 68,3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и направлены на уменьшение дефицита бюджета. </w:t>
      </w:r>
      <w:r>
        <w:rPr>
          <w:sz w:val="20"/>
          <w:szCs w:val="20"/>
        </w:rPr>
        <w:t xml:space="preserve">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0500 «Жилищно-коммунальное хозяйство» расходы увеличены в сумме 18376,5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 за </w:t>
      </w:r>
      <w:r>
        <w:rPr>
          <w:sz w:val="20"/>
          <w:szCs w:val="20"/>
        </w:rPr>
        <w:t xml:space="preserve">счет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увеёличения</w:t>
      </w:r>
      <w:r>
        <w:rPr>
          <w:sz w:val="20"/>
          <w:szCs w:val="20"/>
        </w:rPr>
        <w:t xml:space="preserve"> субсидии по организации и функционирования систем жизнеобеспечения и снабже</w:t>
      </w:r>
      <w:r>
        <w:rPr>
          <w:sz w:val="20"/>
          <w:szCs w:val="20"/>
        </w:rPr>
        <w:t xml:space="preserve">нию топливом в сумме 20125,9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., в том числе передачи городу Чулыму в сумме 15165,9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и за счет уменьшения расходов на 1749,4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в связи с отсутствием потребности и  уменьшением дефицита бюджета.</w:t>
      </w:r>
      <w:r>
        <w:rPr>
          <w:sz w:val="20"/>
          <w:szCs w:val="20"/>
        </w:rPr>
        <w:t xml:space="preserve">. 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0700 «Образование» расходы увеличены в сумм</w:t>
      </w:r>
      <w:r>
        <w:rPr>
          <w:sz w:val="20"/>
          <w:szCs w:val="20"/>
        </w:rPr>
        <w:t xml:space="preserve">е 4732,6т.руб, в том числе за счет увеличения субвенции по дошкольному образованию в сумме133,9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., субвенции по общеобразовательным программам в сумме 2963,2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, субсидии по обеспечению сбалансированности в сумме 2694,4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на повышение заработно</w:t>
      </w:r>
      <w:r>
        <w:rPr>
          <w:sz w:val="20"/>
          <w:szCs w:val="20"/>
        </w:rPr>
        <w:t xml:space="preserve">й платы работников бюджетной сферы на 7,5% с 01.10.2023года и уменьшения расходов по школам по уплате налогов, в связи с уменьшением кадастровой стоимости </w:t>
      </w:r>
      <w:r>
        <w:rPr>
          <w:sz w:val="20"/>
          <w:szCs w:val="20"/>
        </w:rPr>
        <w:t xml:space="preserve">землио</w:t>
      </w:r>
      <w:r>
        <w:rPr>
          <w:sz w:val="20"/>
          <w:szCs w:val="20"/>
        </w:rPr>
        <w:t xml:space="preserve">.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 разделу 0800 «Культура» расходы увеличены в сумме 2223,2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 на повышение заработной п</w:t>
      </w:r>
      <w:r>
        <w:rPr>
          <w:sz w:val="20"/>
          <w:szCs w:val="20"/>
        </w:rPr>
        <w:t xml:space="preserve">латы по  Указам президента.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1000 «Социальная политика» расходы увеличены за счет субвенции в сумме 1502,8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, в том числе бюджетному учреждению КЦСОН на повышение заработной платы с 01.10.2023г на 7,5% и повышение </w:t>
      </w:r>
      <w:r>
        <w:rPr>
          <w:sz w:val="20"/>
          <w:szCs w:val="20"/>
        </w:rPr>
        <w:t xml:space="preserve">опдаты</w:t>
      </w:r>
      <w:r>
        <w:rPr>
          <w:sz w:val="20"/>
          <w:szCs w:val="20"/>
        </w:rPr>
        <w:t xml:space="preserve"> труда приемных роди</w:t>
      </w:r>
      <w:r>
        <w:rPr>
          <w:sz w:val="20"/>
          <w:szCs w:val="20"/>
        </w:rPr>
        <w:t xml:space="preserve">телей в сумме 682,3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1100  «</w:t>
      </w:r>
      <w:r>
        <w:rPr>
          <w:b/>
          <w:sz w:val="20"/>
          <w:szCs w:val="20"/>
        </w:rPr>
        <w:t xml:space="preserve">Физическая культура и спорт</w:t>
      </w:r>
      <w:r>
        <w:rPr>
          <w:sz w:val="20"/>
          <w:szCs w:val="20"/>
        </w:rPr>
        <w:t xml:space="preserve">» расходы уменьшены в сумме 1007,1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, в том числе увеличены расходы на повышение оплаты труда в сумме 942,9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и уменьшения налогов в связи с уменьшением кадастровой стоимости </w:t>
      </w:r>
      <w:r>
        <w:rPr>
          <w:sz w:val="20"/>
          <w:szCs w:val="20"/>
        </w:rPr>
        <w:t xml:space="preserve">земли и направлены на уменьшение дефицита бюджета</w:t>
      </w:r>
      <w:bookmarkStart w:id="0" w:name="_GoBack"/>
      <w:r/>
      <w:bookmarkEnd w:id="0"/>
      <w:r>
        <w:rPr>
          <w:sz w:val="20"/>
          <w:szCs w:val="20"/>
        </w:rPr>
        <w:t xml:space="preserve">.  </w:t>
      </w:r>
      <w:r/>
    </w:p>
    <w:p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1400 «Межбюджетные трансферты» расходы увеличены в сумме 4069,2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 за счет субсидии по программе «Управление государственными финансами»  поселениям района на заработную плату работникам культуры на достижение уровня средней заработн</w:t>
      </w:r>
      <w:r>
        <w:rPr>
          <w:sz w:val="20"/>
          <w:szCs w:val="20"/>
        </w:rPr>
        <w:t xml:space="preserve">ой платы по отдельным категориям работников бюджетной сферы по Указам Президента, на повышение заработной платы на 7,5% с 01.10.2023года органам местного самоуправления. и расходы по наказам депутатов в сумме 981,5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. </w:t>
      </w:r>
      <w:r/>
    </w:p>
    <w:sectPr>
      <w:footnotePr/>
      <w:endnotePr/>
      <w:type w:val="nextPage"/>
      <w:pgSz w:w="11906" w:h="16838" w:orient="portrait"/>
      <w:pgMar w:top="284" w:right="709" w:bottom="284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9" w:default="1">
    <w:name w:val="Normal"/>
    <w:qFormat/>
    <w:rPr>
      <w:sz w:val="24"/>
      <w:szCs w:val="24"/>
      <w:lang w:eastAsia="ru-RU"/>
    </w:rPr>
  </w:style>
  <w:style w:type="paragraph" w:styleId="640">
    <w:name w:val="Heading 1"/>
    <w:basedOn w:val="639"/>
    <w:next w:val="639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41">
    <w:name w:val="Heading 2"/>
    <w:basedOn w:val="639"/>
    <w:next w:val="639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42">
    <w:name w:val="Heading 3"/>
    <w:basedOn w:val="639"/>
    <w:next w:val="639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43">
    <w:name w:val="Heading 4"/>
    <w:basedOn w:val="639"/>
    <w:next w:val="639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639"/>
    <w:next w:val="639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45">
    <w:name w:val="Heading 6"/>
    <w:basedOn w:val="639"/>
    <w:next w:val="639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639"/>
    <w:next w:val="639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7">
    <w:name w:val="Heading 8"/>
    <w:basedOn w:val="639"/>
    <w:next w:val="639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48">
    <w:name w:val="Heading 9"/>
    <w:basedOn w:val="639"/>
    <w:next w:val="639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49" w:default="1">
    <w:name w:val="Default Paragraph Font"/>
    <w:uiPriority w:val="1"/>
    <w:semiHidden/>
    <w:unhideWhenUsed/>
  </w:style>
  <w:style w:type="table" w:styleId="6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1" w:default="1">
    <w:name w:val="No List"/>
    <w:uiPriority w:val="99"/>
    <w:semiHidden/>
    <w:unhideWhenUsed/>
  </w:style>
  <w:style w:type="character" w:styleId="652" w:customStyle="1">
    <w:name w:val="Heading 1 Char"/>
    <w:basedOn w:val="649"/>
    <w:uiPriority w:val="9"/>
    <w:rPr>
      <w:rFonts w:ascii="Arial" w:hAnsi="Arial" w:eastAsia="Arial" w:cs="Arial"/>
      <w:sz w:val="40"/>
      <w:szCs w:val="40"/>
    </w:rPr>
  </w:style>
  <w:style w:type="character" w:styleId="653" w:customStyle="1">
    <w:name w:val="Heading 2 Char"/>
    <w:basedOn w:val="649"/>
    <w:uiPriority w:val="9"/>
    <w:rPr>
      <w:rFonts w:ascii="Arial" w:hAnsi="Arial" w:eastAsia="Arial" w:cs="Arial"/>
      <w:sz w:val="34"/>
    </w:rPr>
  </w:style>
  <w:style w:type="character" w:styleId="654" w:customStyle="1">
    <w:name w:val="Heading 3 Char"/>
    <w:basedOn w:val="649"/>
    <w:uiPriority w:val="9"/>
    <w:rPr>
      <w:rFonts w:ascii="Arial" w:hAnsi="Arial" w:eastAsia="Arial" w:cs="Arial"/>
      <w:sz w:val="30"/>
      <w:szCs w:val="30"/>
    </w:rPr>
  </w:style>
  <w:style w:type="character" w:styleId="655" w:customStyle="1">
    <w:name w:val="Heading 4 Char"/>
    <w:basedOn w:val="649"/>
    <w:uiPriority w:val="9"/>
    <w:rPr>
      <w:rFonts w:ascii="Arial" w:hAnsi="Arial" w:eastAsia="Arial" w:cs="Arial"/>
      <w:b/>
      <w:bCs/>
      <w:sz w:val="26"/>
      <w:szCs w:val="26"/>
    </w:rPr>
  </w:style>
  <w:style w:type="character" w:styleId="656" w:customStyle="1">
    <w:name w:val="Heading 5 Char"/>
    <w:basedOn w:val="649"/>
    <w:uiPriority w:val="9"/>
    <w:rPr>
      <w:rFonts w:ascii="Arial" w:hAnsi="Arial" w:eastAsia="Arial" w:cs="Arial"/>
      <w:b/>
      <w:bCs/>
      <w:sz w:val="24"/>
      <w:szCs w:val="24"/>
    </w:rPr>
  </w:style>
  <w:style w:type="character" w:styleId="657" w:customStyle="1">
    <w:name w:val="Heading 6 Char"/>
    <w:basedOn w:val="649"/>
    <w:uiPriority w:val="9"/>
    <w:rPr>
      <w:rFonts w:ascii="Arial" w:hAnsi="Arial" w:eastAsia="Arial" w:cs="Arial"/>
      <w:b/>
      <w:bCs/>
      <w:sz w:val="22"/>
      <w:szCs w:val="22"/>
    </w:rPr>
  </w:style>
  <w:style w:type="character" w:styleId="658" w:customStyle="1">
    <w:name w:val="Heading 7 Char"/>
    <w:basedOn w:val="6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9" w:customStyle="1">
    <w:name w:val="Heading 8 Char"/>
    <w:basedOn w:val="649"/>
    <w:uiPriority w:val="9"/>
    <w:rPr>
      <w:rFonts w:ascii="Arial" w:hAnsi="Arial" w:eastAsia="Arial" w:cs="Arial"/>
      <w:i/>
      <w:iCs/>
      <w:sz w:val="22"/>
      <w:szCs w:val="22"/>
    </w:rPr>
  </w:style>
  <w:style w:type="character" w:styleId="660" w:customStyle="1">
    <w:name w:val="Heading 9 Char"/>
    <w:basedOn w:val="649"/>
    <w:uiPriority w:val="9"/>
    <w:rPr>
      <w:rFonts w:ascii="Arial" w:hAnsi="Arial" w:eastAsia="Arial" w:cs="Arial"/>
      <w:i/>
      <w:iCs/>
      <w:sz w:val="21"/>
      <w:szCs w:val="21"/>
    </w:rPr>
  </w:style>
  <w:style w:type="character" w:styleId="661" w:customStyle="1">
    <w:name w:val="Title Char"/>
    <w:basedOn w:val="649"/>
    <w:uiPriority w:val="10"/>
    <w:rPr>
      <w:sz w:val="48"/>
      <w:szCs w:val="48"/>
    </w:rPr>
  </w:style>
  <w:style w:type="character" w:styleId="662" w:customStyle="1">
    <w:name w:val="Subtitle Char"/>
    <w:basedOn w:val="649"/>
    <w:uiPriority w:val="11"/>
    <w:rPr>
      <w:sz w:val="24"/>
      <w:szCs w:val="24"/>
    </w:rPr>
  </w:style>
  <w:style w:type="character" w:styleId="663" w:customStyle="1">
    <w:name w:val="Quote Char"/>
    <w:uiPriority w:val="29"/>
    <w:rPr>
      <w:i/>
    </w:rPr>
  </w:style>
  <w:style w:type="character" w:styleId="664" w:customStyle="1">
    <w:name w:val="Intense Quote Char"/>
    <w:uiPriority w:val="30"/>
    <w:rPr>
      <w:i/>
    </w:rPr>
  </w:style>
  <w:style w:type="character" w:styleId="665" w:customStyle="1">
    <w:name w:val="Header Char"/>
    <w:basedOn w:val="649"/>
    <w:uiPriority w:val="99"/>
  </w:style>
  <w:style w:type="character" w:styleId="666" w:customStyle="1">
    <w:name w:val="Caption Char"/>
    <w:uiPriority w:val="99"/>
  </w:style>
  <w:style w:type="character" w:styleId="667" w:customStyle="1">
    <w:name w:val="Footnote Text Char"/>
    <w:uiPriority w:val="99"/>
    <w:rPr>
      <w:sz w:val="18"/>
    </w:rPr>
  </w:style>
  <w:style w:type="character" w:styleId="668" w:customStyle="1">
    <w:name w:val="Endnote Text Char"/>
    <w:uiPriority w:val="99"/>
    <w:rPr>
      <w:sz w:val="20"/>
    </w:rPr>
  </w:style>
  <w:style w:type="character" w:styleId="669" w:customStyle="1">
    <w:name w:val="Заголовок 1 Знак"/>
    <w:link w:val="640"/>
    <w:uiPriority w:val="9"/>
    <w:rPr>
      <w:rFonts w:ascii="Arial" w:hAnsi="Arial" w:eastAsia="Arial" w:cs="Arial"/>
      <w:sz w:val="40"/>
      <w:szCs w:val="40"/>
    </w:rPr>
  </w:style>
  <w:style w:type="character" w:styleId="670" w:customStyle="1">
    <w:name w:val="Заголовок 2 Знак"/>
    <w:link w:val="641"/>
    <w:uiPriority w:val="9"/>
    <w:rPr>
      <w:rFonts w:ascii="Arial" w:hAnsi="Arial" w:eastAsia="Arial" w:cs="Arial"/>
      <w:sz w:val="34"/>
    </w:rPr>
  </w:style>
  <w:style w:type="character" w:styleId="671" w:customStyle="1">
    <w:name w:val="Заголовок 3 Знак"/>
    <w:link w:val="642"/>
    <w:uiPriority w:val="9"/>
    <w:rPr>
      <w:rFonts w:ascii="Arial" w:hAnsi="Arial" w:eastAsia="Arial" w:cs="Arial"/>
      <w:sz w:val="30"/>
      <w:szCs w:val="30"/>
    </w:rPr>
  </w:style>
  <w:style w:type="character" w:styleId="672" w:customStyle="1">
    <w:name w:val="Заголовок 4 Знак"/>
    <w:link w:val="643"/>
    <w:uiPriority w:val="9"/>
    <w:rPr>
      <w:rFonts w:ascii="Arial" w:hAnsi="Arial" w:eastAsia="Arial" w:cs="Arial"/>
      <w:b/>
      <w:bCs/>
      <w:sz w:val="26"/>
      <w:szCs w:val="26"/>
    </w:rPr>
  </w:style>
  <w:style w:type="character" w:styleId="673" w:customStyle="1">
    <w:name w:val="Заголовок 5 Знак"/>
    <w:link w:val="644"/>
    <w:uiPriority w:val="9"/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Заголовок 6 Знак"/>
    <w:link w:val="645"/>
    <w:uiPriority w:val="9"/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Заголовок 7 Знак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 w:customStyle="1">
    <w:name w:val="Заголовок 8 Знак"/>
    <w:link w:val="647"/>
    <w:uiPriority w:val="9"/>
    <w:rPr>
      <w:rFonts w:ascii="Arial" w:hAnsi="Arial" w:eastAsia="Arial" w:cs="Arial"/>
      <w:i/>
      <w:iCs/>
      <w:sz w:val="22"/>
      <w:szCs w:val="22"/>
    </w:rPr>
  </w:style>
  <w:style w:type="character" w:styleId="677" w:customStyle="1">
    <w:name w:val="Заголовок 9 Знак"/>
    <w:link w:val="648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639"/>
    <w:uiPriority w:val="34"/>
    <w:qFormat/>
    <w:pPr>
      <w:contextualSpacing/>
      <w:ind w:left="720"/>
    </w:pPr>
  </w:style>
  <w:style w:type="paragraph" w:styleId="679">
    <w:name w:val="No Spacing"/>
    <w:uiPriority w:val="1"/>
    <w:qFormat/>
  </w:style>
  <w:style w:type="paragraph" w:styleId="680">
    <w:name w:val="Title"/>
    <w:basedOn w:val="639"/>
    <w:next w:val="639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 w:customStyle="1">
    <w:name w:val="Заголовок Знак"/>
    <w:link w:val="680"/>
    <w:uiPriority w:val="10"/>
    <w:rPr>
      <w:sz w:val="48"/>
      <w:szCs w:val="48"/>
    </w:rPr>
  </w:style>
  <w:style w:type="paragraph" w:styleId="682">
    <w:name w:val="Subtitle"/>
    <w:basedOn w:val="639"/>
    <w:next w:val="639"/>
    <w:link w:val="683"/>
    <w:uiPriority w:val="11"/>
    <w:qFormat/>
    <w:pPr>
      <w:spacing w:before="200" w:after="200"/>
    </w:pPr>
  </w:style>
  <w:style w:type="character" w:styleId="683" w:customStyle="1">
    <w:name w:val="Подзаголовок Знак"/>
    <w:link w:val="682"/>
    <w:uiPriority w:val="11"/>
    <w:rPr>
      <w:sz w:val="24"/>
      <w:szCs w:val="24"/>
    </w:rPr>
  </w:style>
  <w:style w:type="paragraph" w:styleId="684">
    <w:name w:val="Quote"/>
    <w:basedOn w:val="639"/>
    <w:next w:val="639"/>
    <w:link w:val="685"/>
    <w:uiPriority w:val="29"/>
    <w:qFormat/>
    <w:pPr>
      <w:ind w:left="720" w:right="720"/>
    </w:pPr>
    <w:rPr>
      <w:i/>
    </w:rPr>
  </w:style>
  <w:style w:type="character" w:styleId="685" w:customStyle="1">
    <w:name w:val="Цитата 2 Знак"/>
    <w:link w:val="684"/>
    <w:uiPriority w:val="29"/>
    <w:rPr>
      <w:i/>
    </w:rPr>
  </w:style>
  <w:style w:type="paragraph" w:styleId="686">
    <w:name w:val="Intense Quote"/>
    <w:basedOn w:val="639"/>
    <w:next w:val="639"/>
    <w:link w:val="68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 w:customStyle="1">
    <w:name w:val="Выделенная цитата Знак"/>
    <w:link w:val="686"/>
    <w:uiPriority w:val="30"/>
    <w:rPr>
      <w:i/>
    </w:rPr>
  </w:style>
  <w:style w:type="paragraph" w:styleId="688">
    <w:name w:val="Header"/>
    <w:basedOn w:val="639"/>
    <w:link w:val="68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9" w:customStyle="1">
    <w:name w:val="Верхний колонтитул Знак"/>
    <w:link w:val="688"/>
    <w:uiPriority w:val="99"/>
  </w:style>
  <w:style w:type="paragraph" w:styleId="690">
    <w:name w:val="Footer"/>
    <w:basedOn w:val="639"/>
    <w:link w:val="69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91" w:customStyle="1">
    <w:name w:val="Footer Char"/>
    <w:uiPriority w:val="99"/>
  </w:style>
  <w:style w:type="paragraph" w:styleId="692">
    <w:name w:val="Caption"/>
    <w:basedOn w:val="639"/>
    <w:next w:val="6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 w:customStyle="1">
    <w:name w:val="Нижний колонтитул Знак"/>
    <w:link w:val="690"/>
    <w:uiPriority w:val="99"/>
  </w:style>
  <w:style w:type="table" w:styleId="694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9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3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2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639"/>
    <w:link w:val="822"/>
    <w:uiPriority w:val="99"/>
    <w:semiHidden/>
    <w:unhideWhenUsed/>
    <w:pPr>
      <w:spacing w:after="40"/>
    </w:pPr>
    <w:rPr>
      <w:sz w:val="18"/>
    </w:rPr>
  </w:style>
  <w:style w:type="character" w:styleId="822" w:customStyle="1">
    <w:name w:val="Текст сноски Знак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639"/>
    <w:link w:val="825"/>
    <w:uiPriority w:val="99"/>
    <w:semiHidden/>
    <w:unhideWhenUsed/>
    <w:rPr>
      <w:sz w:val="20"/>
    </w:rPr>
  </w:style>
  <w:style w:type="character" w:styleId="825" w:customStyle="1">
    <w:name w:val="Текст концевой сноски Знак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639"/>
    <w:next w:val="639"/>
    <w:uiPriority w:val="39"/>
    <w:unhideWhenUsed/>
    <w:pPr>
      <w:spacing w:after="57"/>
    </w:pPr>
  </w:style>
  <w:style w:type="paragraph" w:styleId="828">
    <w:name w:val="toc 2"/>
    <w:basedOn w:val="639"/>
    <w:next w:val="639"/>
    <w:uiPriority w:val="39"/>
    <w:unhideWhenUsed/>
    <w:pPr>
      <w:ind w:left="283"/>
      <w:spacing w:after="57"/>
    </w:pPr>
  </w:style>
  <w:style w:type="paragraph" w:styleId="829">
    <w:name w:val="toc 3"/>
    <w:basedOn w:val="639"/>
    <w:next w:val="639"/>
    <w:uiPriority w:val="39"/>
    <w:unhideWhenUsed/>
    <w:pPr>
      <w:ind w:left="567"/>
      <w:spacing w:after="57"/>
    </w:pPr>
  </w:style>
  <w:style w:type="paragraph" w:styleId="830">
    <w:name w:val="toc 4"/>
    <w:basedOn w:val="639"/>
    <w:next w:val="639"/>
    <w:uiPriority w:val="39"/>
    <w:unhideWhenUsed/>
    <w:pPr>
      <w:ind w:left="850"/>
      <w:spacing w:after="57"/>
    </w:pPr>
  </w:style>
  <w:style w:type="paragraph" w:styleId="831">
    <w:name w:val="toc 5"/>
    <w:basedOn w:val="639"/>
    <w:next w:val="639"/>
    <w:uiPriority w:val="39"/>
    <w:unhideWhenUsed/>
    <w:pPr>
      <w:ind w:left="1134"/>
      <w:spacing w:after="57"/>
    </w:pPr>
  </w:style>
  <w:style w:type="paragraph" w:styleId="832">
    <w:name w:val="toc 6"/>
    <w:basedOn w:val="639"/>
    <w:next w:val="639"/>
    <w:uiPriority w:val="39"/>
    <w:unhideWhenUsed/>
    <w:pPr>
      <w:ind w:left="1417"/>
      <w:spacing w:after="57"/>
    </w:pPr>
  </w:style>
  <w:style w:type="paragraph" w:styleId="833">
    <w:name w:val="toc 7"/>
    <w:basedOn w:val="639"/>
    <w:next w:val="639"/>
    <w:uiPriority w:val="39"/>
    <w:unhideWhenUsed/>
    <w:pPr>
      <w:ind w:left="1701"/>
      <w:spacing w:after="57"/>
    </w:pPr>
  </w:style>
  <w:style w:type="paragraph" w:styleId="834">
    <w:name w:val="toc 8"/>
    <w:basedOn w:val="639"/>
    <w:next w:val="639"/>
    <w:uiPriority w:val="39"/>
    <w:unhideWhenUsed/>
    <w:pPr>
      <w:ind w:left="1984"/>
      <w:spacing w:after="57"/>
    </w:pPr>
  </w:style>
  <w:style w:type="paragraph" w:styleId="835">
    <w:name w:val="toc 9"/>
    <w:basedOn w:val="639"/>
    <w:next w:val="639"/>
    <w:uiPriority w:val="39"/>
    <w:unhideWhenUsed/>
    <w:pPr>
      <w:ind w:left="2268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39"/>
    <w:next w:val="639"/>
    <w:uiPriority w:val="99"/>
    <w:unhideWhenUsed/>
  </w:style>
  <w:style w:type="paragraph" w:styleId="838">
    <w:name w:val="Body Text"/>
    <w:basedOn w:val="639"/>
    <w:link w:val="839"/>
    <w:pPr>
      <w:jc w:val="center"/>
    </w:pPr>
    <w:rPr>
      <w:b/>
      <w:bCs/>
      <w:sz w:val="28"/>
      <w:lang w:val="en-US" w:eastAsia="en-US"/>
    </w:rPr>
  </w:style>
  <w:style w:type="character" w:styleId="839" w:customStyle="1">
    <w:name w:val="Основной текст Знак"/>
    <w:link w:val="838"/>
    <w:rPr>
      <w:b/>
      <w:bCs/>
      <w:sz w:val="28"/>
      <w:szCs w:val="24"/>
    </w:rPr>
  </w:style>
  <w:style w:type="paragraph" w:styleId="840">
    <w:name w:val="Body Text Indent 2"/>
    <w:basedOn w:val="639"/>
    <w:link w:val="841"/>
    <w:pPr>
      <w:ind w:firstLine="709"/>
      <w:jc w:val="both"/>
      <w:shd w:val="clear" w:color="auto" w:fill="ffffff"/>
      <w:widowControl w:val="off"/>
    </w:pPr>
    <w:rPr>
      <w:color w:val="000000"/>
      <w:sz w:val="27"/>
      <w:szCs w:val="28"/>
      <w:lang w:val="en-US" w:eastAsia="en-US"/>
    </w:rPr>
  </w:style>
  <w:style w:type="character" w:styleId="841" w:customStyle="1">
    <w:name w:val="Основной текст с отступом 2 Знак"/>
    <w:link w:val="840"/>
    <w:rPr>
      <w:color w:val="000000"/>
      <w:sz w:val="27"/>
      <w:szCs w:val="28"/>
      <w:shd w:val="clear" w:color="auto" w:fill="ffffff"/>
    </w:rPr>
  </w:style>
  <w:style w:type="paragraph" w:styleId="842">
    <w:name w:val="Body Text Indent 3"/>
    <w:basedOn w:val="639"/>
    <w:link w:val="843"/>
    <w:pPr>
      <w:ind w:left="283"/>
      <w:spacing w:after="120"/>
    </w:pPr>
    <w:rPr>
      <w:sz w:val="16"/>
      <w:szCs w:val="16"/>
      <w:lang w:val="en-US" w:eastAsia="en-US"/>
    </w:rPr>
  </w:style>
  <w:style w:type="character" w:styleId="843" w:customStyle="1">
    <w:name w:val="Основной текст с отступом 3 Знак"/>
    <w:link w:val="842"/>
    <w:rPr>
      <w:sz w:val="16"/>
      <w:szCs w:val="16"/>
    </w:rPr>
  </w:style>
  <w:style w:type="paragraph" w:styleId="844">
    <w:name w:val="Balloon Text"/>
    <w:basedOn w:val="639"/>
    <w:link w:val="845"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link w:val="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Inc.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revision>6</cp:revision>
  <dcterms:created xsi:type="dcterms:W3CDTF">2023-12-05T05:17:00Z</dcterms:created>
  <dcterms:modified xsi:type="dcterms:W3CDTF">2023-12-06T03:32:50Z</dcterms:modified>
  <cp:version>1048576</cp:version>
</cp:coreProperties>
</file>